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E3" w:rsidRDefault="00B501E3" w:rsidP="00B501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Hemel Hempstead District Scout Council Policy </w:t>
      </w:r>
    </w:p>
    <w:p w:rsidR="00B501E3" w:rsidRPr="00B501E3" w:rsidRDefault="00B501E3" w:rsidP="00B501E3">
      <w:pPr>
        <w:rPr>
          <w:rFonts w:ascii="Arial" w:hAnsi="Arial" w:cs="Arial"/>
          <w:b/>
          <w:sz w:val="28"/>
          <w:szCs w:val="28"/>
        </w:rPr>
      </w:pPr>
      <w:proofErr w:type="gramStart"/>
      <w:r w:rsidRPr="00B501E3">
        <w:rPr>
          <w:rFonts w:ascii="Arial" w:hAnsi="Arial" w:cs="Arial"/>
          <w:b/>
          <w:sz w:val="28"/>
          <w:szCs w:val="28"/>
        </w:rPr>
        <w:t>on</w:t>
      </w:r>
      <w:proofErr w:type="gramEnd"/>
      <w:r w:rsidRPr="00B501E3">
        <w:rPr>
          <w:rFonts w:ascii="Arial" w:hAnsi="Arial" w:cs="Arial"/>
          <w:b/>
          <w:sz w:val="28"/>
          <w:szCs w:val="28"/>
        </w:rPr>
        <w:t xml:space="preserve"> </w:t>
      </w:r>
      <w:r w:rsidRPr="00B501E3">
        <w:rPr>
          <w:rFonts w:ascii="Arial" w:hAnsi="Arial" w:cs="Arial"/>
          <w:b/>
          <w:sz w:val="28"/>
          <w:szCs w:val="28"/>
        </w:rPr>
        <w:t>Financial Reserves</w:t>
      </w:r>
    </w:p>
    <w:p w:rsidR="00B501E3" w:rsidRDefault="00B501E3" w:rsidP="00B501E3">
      <w:pPr>
        <w:rPr>
          <w:rFonts w:ascii="Arial" w:hAnsi="Arial" w:cs="Arial"/>
        </w:rPr>
      </w:pPr>
      <w:r>
        <w:rPr>
          <w:rFonts w:ascii="Arial" w:hAnsi="Arial" w:cs="Arial"/>
        </w:rPr>
        <w:t>Revision: 0.1</w:t>
      </w:r>
    </w:p>
    <w:p w:rsidR="00B501E3" w:rsidRDefault="00B501E3" w:rsidP="00B501E3">
      <w:pPr>
        <w:rPr>
          <w:rFonts w:ascii="Arial" w:hAnsi="Arial" w:cs="Arial"/>
        </w:rPr>
      </w:pPr>
      <w:r>
        <w:rPr>
          <w:rFonts w:ascii="Arial" w:hAnsi="Arial" w:cs="Arial"/>
        </w:rPr>
        <w:t>Status: Pre-issue draft</w:t>
      </w:r>
    </w:p>
    <w:p w:rsidR="00B501E3" w:rsidRDefault="00B501E3" w:rsidP="00B501E3">
      <w:pPr>
        <w:pBdr>
          <w:bottom w:val="doub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November 2015</w:t>
      </w:r>
    </w:p>
    <w:p w:rsidR="00B501E3" w:rsidRDefault="00B501E3" w:rsidP="00B501E3">
      <w:pPr>
        <w:spacing w:before="60" w:after="60" w:line="240" w:lineRule="atLeast"/>
        <w:rPr>
          <w:rFonts w:ascii="Arial" w:hAnsi="Arial" w:cs="Arial"/>
        </w:rPr>
      </w:pPr>
    </w:p>
    <w:p w:rsidR="007D3366" w:rsidRDefault="00B501E3" w:rsidP="00B501E3">
      <w:pPr>
        <w:spacing w:before="60" w:after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The table below sets out the various “Designated Funds” which have been discussed and agreed by the District Exec</w:t>
      </w:r>
      <w:r w:rsidR="001E04DF">
        <w:rPr>
          <w:rFonts w:ascii="Arial" w:hAnsi="Arial" w:cs="Arial"/>
        </w:rPr>
        <w:t>utive</w:t>
      </w:r>
      <w:r>
        <w:rPr>
          <w:rFonts w:ascii="Arial" w:hAnsi="Arial" w:cs="Arial"/>
        </w:rPr>
        <w:t xml:space="preserve"> Committee from time to time.</w:t>
      </w:r>
    </w:p>
    <w:p w:rsidR="008D0E86" w:rsidRDefault="008D0E86" w:rsidP="00B501E3">
      <w:pPr>
        <w:spacing w:before="60" w:after="60" w:line="240" w:lineRule="atLeast"/>
        <w:rPr>
          <w:rFonts w:ascii="Arial" w:hAnsi="Arial" w:cs="Arial"/>
        </w:rPr>
      </w:pPr>
    </w:p>
    <w:p w:rsidR="007D3366" w:rsidRDefault="007D3366" w:rsidP="00B501E3">
      <w:pPr>
        <w:spacing w:before="60" w:after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For each named reserve fund:</w:t>
      </w:r>
    </w:p>
    <w:p w:rsidR="007D3366" w:rsidRDefault="007D3366" w:rsidP="00B501E3">
      <w:pPr>
        <w:spacing w:before="60" w:after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“Policy Maximum” represents the highest amount which the Exec considers reasonable.</w:t>
      </w:r>
    </w:p>
    <w:p w:rsidR="007D3366" w:rsidRDefault="007D3366" w:rsidP="00B501E3">
      <w:pPr>
        <w:spacing w:before="60" w:after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“Policy Minimum” represents the lowest amount which the Exec considers safe.</w:t>
      </w:r>
    </w:p>
    <w:p w:rsidR="007D3366" w:rsidRDefault="007D3366" w:rsidP="00B501E3">
      <w:pPr>
        <w:spacing w:before="60" w:after="60" w:line="240" w:lineRule="atLeast"/>
        <w:rPr>
          <w:rFonts w:ascii="Arial" w:hAnsi="Arial" w:cs="Arial"/>
        </w:rPr>
      </w:pPr>
    </w:p>
    <w:p w:rsidR="007D3366" w:rsidRDefault="008D0E86" w:rsidP="00B501E3">
      <w:pPr>
        <w:spacing w:before="60" w:after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In the course of District business, steps should be agreed and taken to keep the reserve levels within the stated limits.</w:t>
      </w:r>
      <w:r w:rsidR="00F038E6">
        <w:rPr>
          <w:rFonts w:ascii="Arial" w:hAnsi="Arial" w:cs="Arial"/>
        </w:rPr>
        <w:t xml:space="preserve">    A “Reserves Working Group” is established to keep the named Funds and their Limits under review (June 2014 – CR, RD, DF).</w:t>
      </w:r>
    </w:p>
    <w:p w:rsidR="008D0E86" w:rsidRDefault="008D0E86" w:rsidP="00B501E3">
      <w:pPr>
        <w:spacing w:before="60" w:after="60" w:line="240" w:lineRule="atLeast"/>
        <w:rPr>
          <w:rFonts w:ascii="Arial" w:hAnsi="Arial" w:cs="Arial"/>
        </w:rPr>
      </w:pPr>
    </w:p>
    <w:p w:rsidR="008D0E86" w:rsidRDefault="008D0E86" w:rsidP="00B501E3">
      <w:pPr>
        <w:spacing w:before="60" w:after="60" w:line="240" w:lineRule="atLeast"/>
        <w:rPr>
          <w:rFonts w:ascii="Arial" w:hAnsi="Arial" w:cs="Arial"/>
        </w:rPr>
      </w:pPr>
      <w:r w:rsidRPr="00F038E6">
        <w:rPr>
          <w:rFonts w:ascii="Arial" w:hAnsi="Arial" w:cs="Arial"/>
          <w:b/>
          <w:i/>
        </w:rPr>
        <w:t>Note</w:t>
      </w:r>
      <w:r>
        <w:rPr>
          <w:rFonts w:ascii="Arial" w:hAnsi="Arial" w:cs="Arial"/>
        </w:rPr>
        <w:t xml:space="preserve"> that the “Current Balance” and “Unallocated funds” are not under the direct control of the Executive </w:t>
      </w:r>
      <w:proofErr w:type="spellStart"/>
      <w:r>
        <w:rPr>
          <w:rFonts w:ascii="Arial" w:hAnsi="Arial" w:cs="Arial"/>
        </w:rPr>
        <w:t>Cttee</w:t>
      </w:r>
      <w:proofErr w:type="spellEnd"/>
      <w:r>
        <w:rPr>
          <w:rFonts w:ascii="Arial" w:hAnsi="Arial" w:cs="Arial"/>
        </w:rPr>
        <w:t xml:space="preserve">, but are the consequences of ongoing business.   </w:t>
      </w:r>
      <w:r w:rsidR="001E04DF">
        <w:rPr>
          <w:rFonts w:ascii="Arial" w:hAnsi="Arial" w:cs="Arial"/>
        </w:rPr>
        <w:t>These figures do not appear in this document but the cells are provided in the table to facilitate regular financial reporting.</w:t>
      </w:r>
    </w:p>
    <w:p w:rsidR="00B501E3" w:rsidRDefault="00B501E3" w:rsidP="00B501E3">
      <w:pPr>
        <w:spacing w:before="60" w:after="60" w:line="240" w:lineRule="atLeast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68"/>
        <w:gridCol w:w="1847"/>
        <w:gridCol w:w="1843"/>
        <w:gridCol w:w="2358"/>
      </w:tblGrid>
      <w:tr w:rsidR="00B501E3" w:rsidRPr="0047025B" w:rsidTr="008D0E86">
        <w:tc>
          <w:tcPr>
            <w:tcW w:w="2968" w:type="dxa"/>
          </w:tcPr>
          <w:p w:rsidR="00B501E3" w:rsidRPr="0047025B" w:rsidRDefault="00B501E3" w:rsidP="00470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25B">
              <w:rPr>
                <w:rFonts w:ascii="Arial" w:hAnsi="Arial" w:cs="Arial"/>
                <w:b/>
                <w:bCs/>
                <w:sz w:val="24"/>
                <w:szCs w:val="24"/>
              </w:rPr>
              <w:t>Designated Funds</w:t>
            </w:r>
          </w:p>
          <w:p w:rsidR="0047025B" w:rsidRPr="0047025B" w:rsidRDefault="0047025B" w:rsidP="00470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B501E3" w:rsidRPr="0047025B" w:rsidRDefault="00B501E3" w:rsidP="00470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25B">
              <w:rPr>
                <w:rFonts w:ascii="Arial" w:hAnsi="Arial" w:cs="Arial"/>
                <w:b/>
                <w:bCs/>
                <w:sz w:val="24"/>
                <w:szCs w:val="24"/>
              </w:rPr>
              <w:t>Policy Maximum</w:t>
            </w:r>
          </w:p>
          <w:p w:rsidR="0047025B" w:rsidRPr="0047025B" w:rsidRDefault="0047025B" w:rsidP="00470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501E3" w:rsidRPr="0047025B" w:rsidRDefault="00B501E3" w:rsidP="00470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25B">
              <w:rPr>
                <w:rFonts w:ascii="Arial" w:hAnsi="Arial" w:cs="Arial"/>
                <w:b/>
                <w:bCs/>
                <w:sz w:val="24"/>
                <w:szCs w:val="24"/>
              </w:rPr>
              <w:t>Policy Minimum</w:t>
            </w:r>
          </w:p>
        </w:tc>
        <w:tc>
          <w:tcPr>
            <w:tcW w:w="2358" w:type="dxa"/>
            <w:shd w:val="clear" w:color="auto" w:fill="E7E6E6" w:themeFill="background2"/>
          </w:tcPr>
          <w:p w:rsidR="00B501E3" w:rsidRPr="0047025B" w:rsidRDefault="00B501E3" w:rsidP="00470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25B">
              <w:rPr>
                <w:rFonts w:ascii="Arial" w:hAnsi="Arial" w:cs="Arial"/>
                <w:b/>
                <w:bCs/>
                <w:sz w:val="24"/>
                <w:szCs w:val="24"/>
              </w:rPr>
              <w:t>Current Balance</w:t>
            </w:r>
          </w:p>
        </w:tc>
      </w:tr>
      <w:tr w:rsidR="00B501E3" w:rsidRPr="0047025B" w:rsidTr="008D0E86">
        <w:tc>
          <w:tcPr>
            <w:tcW w:w="2968" w:type="dxa"/>
          </w:tcPr>
          <w:p w:rsidR="0047025B" w:rsidRDefault="00B501E3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25B">
              <w:rPr>
                <w:rFonts w:ascii="Arial" w:hAnsi="Arial" w:cs="Arial"/>
                <w:sz w:val="24"/>
                <w:szCs w:val="24"/>
              </w:rPr>
              <w:t>General District Reserve</w:t>
            </w:r>
          </w:p>
          <w:p w:rsidR="00B501E3" w:rsidRPr="0047025B" w:rsidRDefault="00B501E3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2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B501E3" w:rsidRPr="0047025B" w:rsidRDefault="00B501E3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25B">
              <w:rPr>
                <w:rFonts w:ascii="Arial" w:hAnsi="Arial" w:cs="Arial"/>
                <w:sz w:val="24"/>
                <w:szCs w:val="24"/>
              </w:rPr>
              <w:t xml:space="preserve">£10,000 </w:t>
            </w:r>
          </w:p>
        </w:tc>
        <w:tc>
          <w:tcPr>
            <w:tcW w:w="1843" w:type="dxa"/>
          </w:tcPr>
          <w:p w:rsidR="00B501E3" w:rsidRPr="0047025B" w:rsidRDefault="0047025B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£4000</w:t>
            </w:r>
          </w:p>
        </w:tc>
        <w:tc>
          <w:tcPr>
            <w:tcW w:w="2358" w:type="dxa"/>
            <w:shd w:val="clear" w:color="auto" w:fill="E7E6E6" w:themeFill="background2"/>
          </w:tcPr>
          <w:p w:rsidR="00B501E3" w:rsidRPr="0047025B" w:rsidRDefault="00B501E3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25B">
              <w:rPr>
                <w:rFonts w:ascii="Arial" w:hAnsi="Arial" w:cs="Arial"/>
                <w:sz w:val="24"/>
                <w:szCs w:val="24"/>
              </w:rPr>
              <w:t>£10,000</w:t>
            </w:r>
          </w:p>
        </w:tc>
      </w:tr>
      <w:tr w:rsidR="00B501E3" w:rsidRPr="0047025B" w:rsidTr="008D0E86">
        <w:tc>
          <w:tcPr>
            <w:tcW w:w="2968" w:type="dxa"/>
          </w:tcPr>
          <w:p w:rsidR="00B501E3" w:rsidRDefault="00B501E3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25B">
              <w:rPr>
                <w:rFonts w:ascii="Arial" w:hAnsi="Arial" w:cs="Arial"/>
                <w:sz w:val="24"/>
                <w:szCs w:val="24"/>
              </w:rPr>
              <w:t xml:space="preserve">International Activities and Jamboree reserve </w:t>
            </w:r>
          </w:p>
          <w:p w:rsidR="0047025B" w:rsidRPr="0047025B" w:rsidRDefault="0047025B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:rsidR="00B501E3" w:rsidRPr="0047025B" w:rsidRDefault="00B501E3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25B">
              <w:rPr>
                <w:rFonts w:ascii="Arial" w:hAnsi="Arial" w:cs="Arial"/>
                <w:sz w:val="24"/>
                <w:szCs w:val="24"/>
              </w:rPr>
              <w:t>£10,000</w:t>
            </w:r>
          </w:p>
        </w:tc>
        <w:tc>
          <w:tcPr>
            <w:tcW w:w="1843" w:type="dxa"/>
          </w:tcPr>
          <w:p w:rsidR="00B501E3" w:rsidRPr="0047025B" w:rsidRDefault="0047025B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£4000</w:t>
            </w:r>
          </w:p>
        </w:tc>
        <w:tc>
          <w:tcPr>
            <w:tcW w:w="2358" w:type="dxa"/>
            <w:shd w:val="clear" w:color="auto" w:fill="E7E6E6" w:themeFill="background2"/>
          </w:tcPr>
          <w:p w:rsidR="00B501E3" w:rsidRPr="0047025B" w:rsidRDefault="00B501E3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25B">
              <w:rPr>
                <w:rFonts w:ascii="Arial" w:hAnsi="Arial" w:cs="Arial"/>
                <w:sz w:val="24"/>
                <w:szCs w:val="24"/>
              </w:rPr>
              <w:t>£ 9,818.24</w:t>
            </w:r>
          </w:p>
        </w:tc>
      </w:tr>
      <w:tr w:rsidR="00B501E3" w:rsidRPr="0047025B" w:rsidTr="008D0E86">
        <w:tc>
          <w:tcPr>
            <w:tcW w:w="2968" w:type="dxa"/>
          </w:tcPr>
          <w:p w:rsidR="00B501E3" w:rsidRDefault="00B501E3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25B">
              <w:rPr>
                <w:rFonts w:ascii="Arial" w:hAnsi="Arial" w:cs="Arial"/>
                <w:sz w:val="24"/>
                <w:szCs w:val="24"/>
              </w:rPr>
              <w:t xml:space="preserve">District Scout Shop development reserve </w:t>
            </w:r>
          </w:p>
          <w:p w:rsidR="0047025B" w:rsidRPr="0047025B" w:rsidRDefault="0047025B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:rsidR="00B501E3" w:rsidRPr="0047025B" w:rsidRDefault="00B501E3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25B">
              <w:rPr>
                <w:rFonts w:ascii="Arial" w:hAnsi="Arial" w:cs="Arial"/>
                <w:sz w:val="24"/>
                <w:szCs w:val="24"/>
              </w:rPr>
              <w:t>£5,000</w:t>
            </w:r>
          </w:p>
        </w:tc>
        <w:tc>
          <w:tcPr>
            <w:tcW w:w="1843" w:type="dxa"/>
          </w:tcPr>
          <w:p w:rsidR="00B501E3" w:rsidRPr="0047025B" w:rsidRDefault="0047025B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£2000</w:t>
            </w:r>
          </w:p>
        </w:tc>
        <w:tc>
          <w:tcPr>
            <w:tcW w:w="2358" w:type="dxa"/>
            <w:shd w:val="clear" w:color="auto" w:fill="E7E6E6" w:themeFill="background2"/>
          </w:tcPr>
          <w:p w:rsidR="00B501E3" w:rsidRPr="0047025B" w:rsidRDefault="00B501E3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25B">
              <w:rPr>
                <w:rFonts w:ascii="Arial" w:hAnsi="Arial" w:cs="Arial"/>
                <w:sz w:val="24"/>
                <w:szCs w:val="24"/>
              </w:rPr>
              <w:t xml:space="preserve"> £5,000</w:t>
            </w:r>
          </w:p>
        </w:tc>
      </w:tr>
      <w:tr w:rsidR="00B501E3" w:rsidRPr="0047025B" w:rsidTr="008D0E86">
        <w:tc>
          <w:tcPr>
            <w:tcW w:w="2968" w:type="dxa"/>
          </w:tcPr>
          <w:p w:rsidR="00B501E3" w:rsidRDefault="00B501E3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25B">
              <w:rPr>
                <w:rFonts w:ascii="Arial" w:hAnsi="Arial" w:cs="Arial"/>
                <w:sz w:val="24"/>
                <w:szCs w:val="24"/>
              </w:rPr>
              <w:t xml:space="preserve">District Headquarters </w:t>
            </w:r>
            <w:r w:rsidR="0047025B">
              <w:rPr>
                <w:rFonts w:ascii="Arial" w:hAnsi="Arial" w:cs="Arial"/>
                <w:sz w:val="24"/>
                <w:szCs w:val="24"/>
              </w:rPr>
              <w:t xml:space="preserve">maintenance </w:t>
            </w:r>
            <w:r w:rsidRPr="0047025B">
              <w:rPr>
                <w:rFonts w:ascii="Arial" w:hAnsi="Arial" w:cs="Arial"/>
                <w:sz w:val="24"/>
                <w:szCs w:val="24"/>
              </w:rPr>
              <w:t>reserve</w:t>
            </w:r>
          </w:p>
          <w:p w:rsidR="0047025B" w:rsidRPr="0047025B" w:rsidRDefault="0047025B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:rsidR="00B501E3" w:rsidRPr="0047025B" w:rsidRDefault="00B501E3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25B">
              <w:rPr>
                <w:rFonts w:ascii="Arial" w:hAnsi="Arial" w:cs="Arial"/>
                <w:sz w:val="24"/>
                <w:szCs w:val="24"/>
              </w:rPr>
              <w:t xml:space="preserve"> £3,000 </w:t>
            </w:r>
          </w:p>
        </w:tc>
        <w:tc>
          <w:tcPr>
            <w:tcW w:w="1843" w:type="dxa"/>
          </w:tcPr>
          <w:p w:rsidR="00B501E3" w:rsidRPr="0047025B" w:rsidRDefault="0047025B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£1000</w:t>
            </w:r>
          </w:p>
        </w:tc>
        <w:tc>
          <w:tcPr>
            <w:tcW w:w="2358" w:type="dxa"/>
            <w:shd w:val="clear" w:color="auto" w:fill="E7E6E6" w:themeFill="background2"/>
          </w:tcPr>
          <w:p w:rsidR="00B501E3" w:rsidRPr="0047025B" w:rsidRDefault="00B501E3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25B">
              <w:rPr>
                <w:rFonts w:ascii="Arial" w:hAnsi="Arial" w:cs="Arial"/>
                <w:sz w:val="24"/>
                <w:szCs w:val="24"/>
              </w:rPr>
              <w:t>£2,855.17</w:t>
            </w:r>
          </w:p>
        </w:tc>
      </w:tr>
      <w:tr w:rsidR="0047025B" w:rsidRPr="0047025B" w:rsidTr="008D0E86">
        <w:tc>
          <w:tcPr>
            <w:tcW w:w="2968" w:type="dxa"/>
          </w:tcPr>
          <w:p w:rsidR="0047025B" w:rsidRDefault="0047025B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Adventure Fund reserve</w:t>
            </w:r>
          </w:p>
          <w:p w:rsidR="0047025B" w:rsidRPr="0047025B" w:rsidRDefault="0047025B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:rsidR="0047025B" w:rsidRPr="0047025B" w:rsidRDefault="0047025B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£10,000</w:t>
            </w:r>
          </w:p>
        </w:tc>
        <w:tc>
          <w:tcPr>
            <w:tcW w:w="1843" w:type="dxa"/>
          </w:tcPr>
          <w:p w:rsidR="0047025B" w:rsidRPr="0047025B" w:rsidRDefault="0047025B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£4000</w:t>
            </w:r>
          </w:p>
        </w:tc>
        <w:tc>
          <w:tcPr>
            <w:tcW w:w="2358" w:type="dxa"/>
            <w:shd w:val="clear" w:color="auto" w:fill="E7E6E6" w:themeFill="background2"/>
          </w:tcPr>
          <w:p w:rsidR="0047025B" w:rsidRPr="0047025B" w:rsidRDefault="00D31D4E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£10,000</w:t>
            </w:r>
          </w:p>
        </w:tc>
      </w:tr>
      <w:tr w:rsidR="0047025B" w:rsidRPr="0047025B" w:rsidTr="00D31D4E">
        <w:tc>
          <w:tcPr>
            <w:tcW w:w="2968" w:type="dxa"/>
            <w:shd w:val="clear" w:color="auto" w:fill="E7E6E6" w:themeFill="background2"/>
          </w:tcPr>
          <w:p w:rsidR="0047025B" w:rsidRDefault="0047025B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Unallocated funds</w:t>
            </w:r>
          </w:p>
          <w:p w:rsidR="0047025B" w:rsidRPr="0047025B" w:rsidRDefault="0047025B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E7E6E6" w:themeFill="background2"/>
          </w:tcPr>
          <w:p w:rsidR="0047025B" w:rsidRPr="0047025B" w:rsidRDefault="0047025B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47025B" w:rsidRPr="0047025B" w:rsidRDefault="0047025B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E7E6E6" w:themeFill="background2"/>
          </w:tcPr>
          <w:p w:rsidR="0047025B" w:rsidRPr="0047025B" w:rsidRDefault="00D31D4E" w:rsidP="001C4C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£2000</w:t>
            </w:r>
          </w:p>
        </w:tc>
      </w:tr>
    </w:tbl>
    <w:p w:rsidR="001E5C86" w:rsidRDefault="006B2F12" w:rsidP="00F038E6">
      <w:pPr>
        <w:pBdr>
          <w:bottom w:val="double" w:sz="6" w:space="1" w:color="auto"/>
        </w:pBdr>
      </w:pPr>
      <w:r>
        <w:rPr>
          <w:rFonts w:ascii="Arial" w:hAnsi="Arial" w:cs="Arial"/>
        </w:rPr>
        <w:br/>
      </w:r>
    </w:p>
    <w:p w:rsidR="00E81541" w:rsidRDefault="00E81541" w:rsidP="00F038E6">
      <w:bookmarkStart w:id="0" w:name="_GoBack"/>
      <w:bookmarkEnd w:id="0"/>
    </w:p>
    <w:sectPr w:rsidR="00E81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49E0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"/>
        <w:legacy w:legacy="1" w:legacySpace="0" w:legacyIndent="36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9A"/>
    <w:rsid w:val="001E04DF"/>
    <w:rsid w:val="001E5C86"/>
    <w:rsid w:val="0047025B"/>
    <w:rsid w:val="006B2F12"/>
    <w:rsid w:val="00703EB7"/>
    <w:rsid w:val="0071026A"/>
    <w:rsid w:val="007D3366"/>
    <w:rsid w:val="008D0E86"/>
    <w:rsid w:val="008F659A"/>
    <w:rsid w:val="00B36694"/>
    <w:rsid w:val="00B501E3"/>
    <w:rsid w:val="00D31D4E"/>
    <w:rsid w:val="00D700F6"/>
    <w:rsid w:val="00DD358F"/>
    <w:rsid w:val="00E81541"/>
    <w:rsid w:val="00F038E6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75150-1BBE-43CC-ABEA-A3142342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1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2F12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4</cp:revision>
  <dcterms:created xsi:type="dcterms:W3CDTF">2015-11-04T11:26:00Z</dcterms:created>
  <dcterms:modified xsi:type="dcterms:W3CDTF">2015-11-04T12:26:00Z</dcterms:modified>
</cp:coreProperties>
</file>